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widowControl/>
        <w:jc w:val="center"/>
        <w:rPr>
          <w:rFonts w:ascii="华文中宋" w:eastAsia="华文中宋" w:cs="宋体"/>
          <w:b/>
          <w:bCs/>
          <w:color w:val="000000"/>
          <w:kern w:val="0"/>
          <w:sz w:val="52"/>
          <w:szCs w:val="52"/>
        </w:rPr>
      </w:pPr>
      <w:r>
        <w:rPr>
          <w:rFonts w:hint="eastAsia" w:ascii="华文中宋" w:eastAsia="华文中宋" w:cs="宋体"/>
          <w:b/>
          <w:bCs/>
          <w:color w:val="000000"/>
          <w:kern w:val="0"/>
          <w:sz w:val="52"/>
          <w:szCs w:val="52"/>
        </w:rPr>
        <w:t>汉考国际科研基金项目</w:t>
      </w:r>
    </w:p>
    <w:p>
      <w:pPr>
        <w:jc w:val="center"/>
        <w:rPr>
          <w:rFonts w:ascii="华文中宋" w:eastAsia="华文中宋" w:cs="宋体"/>
          <w:b/>
          <w:bCs/>
          <w:color w:val="000000"/>
          <w:kern w:val="0"/>
          <w:sz w:val="52"/>
          <w:szCs w:val="52"/>
        </w:rPr>
      </w:pPr>
      <w:r>
        <w:rPr>
          <w:rFonts w:eastAsia="华文中宋"/>
          <w:b/>
          <w:bCs/>
          <w:color w:val="000000"/>
          <w:kern w:val="0"/>
          <w:sz w:val="52"/>
          <w:szCs w:val="52"/>
        </w:rPr>
        <w:t>2020</w:t>
      </w:r>
      <w:r>
        <w:rPr>
          <w:rFonts w:hint="eastAsia" w:ascii="华文中宋" w:eastAsia="华文中宋" w:cs="宋体"/>
          <w:b/>
          <w:bCs/>
          <w:color w:val="000000"/>
          <w:kern w:val="0"/>
          <w:sz w:val="52"/>
          <w:szCs w:val="52"/>
        </w:rPr>
        <w:t>年度课题指南</w:t>
      </w:r>
    </w:p>
    <w:p>
      <w:pPr>
        <w:jc w:val="center"/>
        <w:rPr>
          <w:rFonts w:ascii="华文中宋" w:eastAsia="华文中宋" w:cs="宋体"/>
          <w:b/>
          <w:bCs/>
          <w:color w:val="000000"/>
          <w:kern w:val="0"/>
          <w:sz w:val="52"/>
          <w:szCs w:val="52"/>
        </w:rPr>
      </w:pPr>
    </w:p>
    <w:p>
      <w:pPr>
        <w:jc w:val="center"/>
        <w:rPr>
          <w:rFonts w:ascii="华文中宋" w:eastAsia="华文中宋" w:cs="宋体"/>
          <w:b/>
          <w:bCs/>
          <w:color w:val="000000"/>
          <w:kern w:val="0"/>
          <w:sz w:val="52"/>
          <w:szCs w:val="52"/>
        </w:rPr>
      </w:pPr>
    </w:p>
    <w:p>
      <w:pPr>
        <w:jc w:val="center"/>
        <w:rPr>
          <w:rFonts w:ascii="华文中宋" w:eastAsia="华文中宋" w:cs="宋体"/>
          <w:b/>
          <w:bCs/>
          <w:color w:val="000000"/>
          <w:kern w:val="0"/>
          <w:sz w:val="52"/>
          <w:szCs w:val="52"/>
        </w:rPr>
      </w:pPr>
    </w:p>
    <w:p>
      <w:pPr>
        <w:jc w:val="center"/>
        <w:rPr>
          <w:rFonts w:ascii="华文中宋" w:eastAsia="华文中宋" w:cs="宋体"/>
          <w:b/>
          <w:bCs/>
          <w:color w:val="000000"/>
          <w:kern w:val="0"/>
          <w:sz w:val="52"/>
          <w:szCs w:val="52"/>
        </w:rPr>
      </w:pPr>
    </w:p>
    <w:p>
      <w:pPr>
        <w:jc w:val="center"/>
        <w:rPr>
          <w:rFonts w:ascii="华文中宋" w:eastAsia="华文中宋" w:cs="宋体"/>
          <w:b/>
          <w:bCs/>
          <w:color w:val="000000"/>
          <w:kern w:val="0"/>
          <w:sz w:val="52"/>
          <w:szCs w:val="52"/>
        </w:rPr>
      </w:pPr>
    </w:p>
    <w:p>
      <w:pPr>
        <w:jc w:val="center"/>
        <w:rPr>
          <w:rFonts w:ascii="华文中宋" w:eastAsia="华文中宋" w:cs="宋体"/>
          <w:b/>
          <w:bCs/>
          <w:color w:val="000000"/>
          <w:kern w:val="0"/>
          <w:sz w:val="52"/>
          <w:szCs w:val="52"/>
        </w:rPr>
      </w:pPr>
    </w:p>
    <w:p>
      <w:pPr>
        <w:jc w:val="center"/>
        <w:rPr>
          <w:rFonts w:ascii="华文中宋" w:eastAsia="华文中宋" w:cs="宋体"/>
          <w:b/>
          <w:bCs/>
          <w:color w:val="000000"/>
          <w:kern w:val="0"/>
          <w:sz w:val="52"/>
          <w:szCs w:val="52"/>
        </w:rPr>
      </w:pPr>
    </w:p>
    <w:p>
      <w:pPr>
        <w:jc w:val="center"/>
        <w:rPr>
          <w:rFonts w:ascii="华文中宋" w:eastAsia="华文中宋" w:cs="宋体"/>
          <w:b/>
          <w:bCs/>
          <w:color w:val="000000"/>
          <w:kern w:val="0"/>
          <w:sz w:val="52"/>
          <w:szCs w:val="52"/>
        </w:rPr>
      </w:pPr>
    </w:p>
    <w:p>
      <w:pPr>
        <w:widowControl/>
        <w:jc w:val="center"/>
        <w:rPr>
          <w:rFonts w:eastAsia="楷体"/>
          <w:b/>
          <w:bCs/>
          <w:color w:val="000000"/>
          <w:kern w:val="0"/>
          <w:sz w:val="36"/>
          <w:szCs w:val="36"/>
        </w:rPr>
      </w:pPr>
      <w:r>
        <w:rPr>
          <w:rFonts w:hint="eastAsia" w:hAnsi="楷体" w:eastAsia="楷体"/>
          <w:b/>
          <w:bCs/>
          <w:color w:val="000000"/>
          <w:kern w:val="0"/>
          <w:sz w:val="36"/>
          <w:szCs w:val="36"/>
        </w:rPr>
        <w:t>汉考国际教育科技（北京）有限公司</w:t>
      </w:r>
    </w:p>
    <w:p>
      <w:pPr>
        <w:jc w:val="center"/>
        <w:rPr>
          <w:rFonts w:hAnsi="楷体" w:eastAsia="楷体"/>
          <w:b/>
          <w:bCs/>
          <w:color w:val="000000"/>
          <w:kern w:val="0"/>
          <w:sz w:val="36"/>
          <w:szCs w:val="36"/>
        </w:rPr>
      </w:pPr>
      <w:r>
        <w:rPr>
          <w:rFonts w:eastAsia="楷体"/>
          <w:b/>
          <w:bCs/>
          <w:color w:val="000000"/>
          <w:kern w:val="0"/>
          <w:sz w:val="36"/>
          <w:szCs w:val="36"/>
        </w:rPr>
        <w:t>20</w:t>
      </w:r>
      <w:r>
        <w:rPr>
          <w:rFonts w:hint="eastAsia" w:eastAsia="楷体"/>
          <w:b/>
          <w:bCs/>
          <w:color w:val="000000"/>
          <w:kern w:val="0"/>
          <w:sz w:val="36"/>
          <w:szCs w:val="36"/>
        </w:rPr>
        <w:t>20</w:t>
      </w:r>
      <w:r>
        <w:rPr>
          <w:rFonts w:hAnsi="楷体" w:eastAsia="楷体"/>
          <w:b/>
          <w:bCs/>
          <w:color w:val="000000"/>
          <w:kern w:val="0"/>
          <w:sz w:val="36"/>
          <w:szCs w:val="36"/>
        </w:rPr>
        <w:t>年</w:t>
      </w:r>
      <w:r>
        <w:rPr>
          <w:rFonts w:eastAsia="楷体"/>
          <w:b/>
          <w:bCs/>
          <w:color w:val="000000"/>
          <w:kern w:val="0"/>
          <w:sz w:val="36"/>
          <w:szCs w:val="36"/>
        </w:rPr>
        <w:t>4</w:t>
      </w:r>
      <w:r>
        <w:rPr>
          <w:rFonts w:hAnsi="楷体" w:eastAsia="楷体"/>
          <w:b/>
          <w:bCs/>
          <w:color w:val="000000"/>
          <w:kern w:val="0"/>
          <w:sz w:val="36"/>
          <w:szCs w:val="36"/>
        </w:rPr>
        <w:t>月</w:t>
      </w:r>
      <w:r>
        <w:rPr>
          <w:rFonts w:hAnsi="楷体" w:eastAsia="楷体"/>
          <w:b/>
          <w:bCs/>
          <w:color w:val="000000"/>
          <w:kern w:val="0"/>
          <w:sz w:val="36"/>
          <w:szCs w:val="36"/>
        </w:rPr>
        <w:br w:type="page"/>
      </w:r>
    </w:p>
    <w:p>
      <w:pPr>
        <w:ind w:firstLine="560" w:firstLineChars="200"/>
        <w:jc w:val="left"/>
        <w:rPr>
          <w:rFonts w:ascii="华文仿宋" w:hAnsi="华文仿宋" w:eastAsia="华文仿宋"/>
          <w:bCs/>
          <w:color w:val="000000"/>
          <w:kern w:val="0"/>
          <w:sz w:val="28"/>
          <w:szCs w:val="28"/>
        </w:rPr>
      </w:pPr>
      <w:r>
        <w:rPr>
          <w:rFonts w:eastAsia="华文仿宋"/>
          <w:bCs/>
          <w:color w:val="000000"/>
          <w:kern w:val="0"/>
          <w:sz w:val="28"/>
          <w:szCs w:val="28"/>
        </w:rPr>
        <w:t>2020</w:t>
      </w:r>
      <w:r>
        <w:rPr>
          <w:rFonts w:hint="eastAsia" w:ascii="华文仿宋" w:hAnsi="华文仿宋" w:eastAsia="华文仿宋"/>
          <w:bCs/>
          <w:color w:val="000000"/>
          <w:kern w:val="0"/>
          <w:sz w:val="28"/>
          <w:szCs w:val="28"/>
        </w:rPr>
        <w:t>年汉考国际科研基金项目本着“聚焦考试主业，加强师资建设、资源建设，构建开放、包容、规范的现代国际中文教育体系”原则，设立以下四个研究方向及若干子方向：</w:t>
      </w:r>
    </w:p>
    <w:p>
      <w:pPr>
        <w:ind w:firstLine="560" w:firstLineChars="200"/>
        <w:jc w:val="left"/>
        <w:rPr>
          <w:rFonts w:ascii="华文仿宋" w:hAnsi="华文仿宋" w:eastAsia="华文仿宋"/>
          <w:bCs/>
          <w:kern w:val="0"/>
          <w:sz w:val="28"/>
          <w:szCs w:val="28"/>
        </w:rPr>
      </w:pPr>
      <w:r>
        <w:rPr>
          <w:rFonts w:hint="eastAsia" w:ascii="华文仿宋" w:hAnsi="华文仿宋" w:eastAsia="华文仿宋"/>
          <w:bCs/>
          <w:kern w:val="0"/>
          <w:sz w:val="28"/>
          <w:szCs w:val="28"/>
        </w:rPr>
        <w:t>一、考试研究（</w:t>
      </w:r>
      <w:r>
        <w:rPr>
          <w:rFonts w:eastAsia="华文仿宋"/>
          <w:bCs/>
          <w:kern w:val="0"/>
          <w:sz w:val="28"/>
          <w:szCs w:val="28"/>
        </w:rPr>
        <w:t>HSK、HSKK、YCT、BCT、MCT、CTCSOL</w:t>
      </w:r>
      <w:r>
        <w:rPr>
          <w:rFonts w:hint="eastAsia" w:ascii="华文仿宋" w:hAnsi="华文仿宋" w:eastAsia="华文仿宋"/>
          <w:bCs/>
          <w:kern w:val="0"/>
          <w:sz w:val="28"/>
          <w:szCs w:val="28"/>
        </w:rPr>
        <w:t>）</w:t>
      </w:r>
    </w:p>
    <w:p>
      <w:pPr>
        <w:pStyle w:val="15"/>
        <w:numPr>
          <w:ilvl w:val="0"/>
          <w:numId w:val="1"/>
        </w:numPr>
        <w:ind w:firstLineChars="0"/>
        <w:jc w:val="left"/>
        <w:rPr>
          <w:rFonts w:eastAsia="华文仿宋"/>
          <w:bCs/>
          <w:kern w:val="0"/>
          <w:sz w:val="28"/>
          <w:szCs w:val="28"/>
        </w:rPr>
      </w:pPr>
      <w:r>
        <w:rPr>
          <w:rFonts w:eastAsia="华文仿宋"/>
          <w:bCs/>
          <w:kern w:val="0"/>
          <w:sz w:val="28"/>
          <w:szCs w:val="28"/>
        </w:rPr>
        <w:t>考试的信度、效度研究</w:t>
      </w:r>
    </w:p>
    <w:p>
      <w:pPr>
        <w:pStyle w:val="15"/>
        <w:numPr>
          <w:ilvl w:val="0"/>
          <w:numId w:val="1"/>
        </w:numPr>
        <w:ind w:firstLineChars="0"/>
        <w:jc w:val="left"/>
        <w:rPr>
          <w:rFonts w:eastAsia="华文仿宋"/>
          <w:bCs/>
          <w:kern w:val="0"/>
          <w:sz w:val="28"/>
          <w:szCs w:val="28"/>
        </w:rPr>
      </w:pPr>
      <w:r>
        <w:rPr>
          <w:rFonts w:eastAsia="华文仿宋"/>
          <w:bCs/>
          <w:kern w:val="0"/>
          <w:sz w:val="28"/>
          <w:szCs w:val="28"/>
        </w:rPr>
        <w:t>基于计算机的测试新题型</w:t>
      </w:r>
    </w:p>
    <w:p>
      <w:pPr>
        <w:pStyle w:val="15"/>
        <w:numPr>
          <w:ilvl w:val="0"/>
          <w:numId w:val="1"/>
        </w:numPr>
        <w:ind w:firstLineChars="0"/>
        <w:jc w:val="left"/>
        <w:rPr>
          <w:rFonts w:eastAsia="华文仿宋"/>
          <w:bCs/>
          <w:kern w:val="0"/>
          <w:sz w:val="28"/>
          <w:szCs w:val="28"/>
        </w:rPr>
      </w:pPr>
      <w:r>
        <w:rPr>
          <w:rFonts w:eastAsia="华文仿宋"/>
          <w:bCs/>
          <w:kern w:val="0"/>
          <w:sz w:val="28"/>
          <w:szCs w:val="28"/>
        </w:rPr>
        <w:t>考试项目功能差异</w:t>
      </w:r>
      <w:r>
        <w:rPr>
          <w:rFonts w:ascii="华文仿宋" w:hAnsi="华文仿宋" w:eastAsia="华文仿宋"/>
          <w:bCs/>
          <w:kern w:val="0"/>
          <w:sz w:val="28"/>
          <w:szCs w:val="28"/>
        </w:rPr>
        <w:t>（</w:t>
      </w:r>
      <w:r>
        <w:rPr>
          <w:rFonts w:eastAsia="华文仿宋"/>
          <w:bCs/>
          <w:kern w:val="0"/>
          <w:sz w:val="28"/>
          <w:szCs w:val="28"/>
        </w:rPr>
        <w:t>DIF</w:t>
      </w:r>
      <w:r>
        <w:rPr>
          <w:rFonts w:ascii="华文仿宋" w:hAnsi="华文仿宋" w:eastAsia="华文仿宋"/>
          <w:bCs/>
          <w:kern w:val="0"/>
          <w:sz w:val="28"/>
          <w:szCs w:val="28"/>
        </w:rPr>
        <w:t>）</w:t>
      </w:r>
      <w:r>
        <w:rPr>
          <w:rFonts w:eastAsia="华文仿宋"/>
          <w:bCs/>
          <w:kern w:val="0"/>
          <w:sz w:val="28"/>
          <w:szCs w:val="28"/>
        </w:rPr>
        <w:t>研究或考试公平性</w:t>
      </w:r>
    </w:p>
    <w:p>
      <w:pPr>
        <w:pStyle w:val="15"/>
        <w:numPr>
          <w:ilvl w:val="0"/>
          <w:numId w:val="1"/>
        </w:numPr>
        <w:ind w:firstLineChars="0"/>
        <w:jc w:val="left"/>
        <w:rPr>
          <w:rFonts w:eastAsia="华文仿宋"/>
          <w:bCs/>
          <w:kern w:val="0"/>
          <w:sz w:val="28"/>
          <w:szCs w:val="28"/>
        </w:rPr>
      </w:pPr>
      <w:r>
        <w:rPr>
          <w:rFonts w:eastAsia="华文仿宋"/>
          <w:bCs/>
          <w:kern w:val="0"/>
          <w:sz w:val="28"/>
          <w:szCs w:val="28"/>
        </w:rPr>
        <w:t>自适应考试的题组等值</w:t>
      </w:r>
    </w:p>
    <w:p>
      <w:pPr>
        <w:pStyle w:val="15"/>
        <w:numPr>
          <w:ilvl w:val="0"/>
          <w:numId w:val="1"/>
        </w:numPr>
        <w:ind w:firstLineChars="0"/>
        <w:jc w:val="left"/>
        <w:rPr>
          <w:rFonts w:eastAsia="华文仿宋"/>
          <w:bCs/>
          <w:kern w:val="0"/>
          <w:sz w:val="28"/>
          <w:szCs w:val="28"/>
        </w:rPr>
      </w:pPr>
      <w:r>
        <w:rPr>
          <w:rFonts w:eastAsia="华文仿宋"/>
          <w:bCs/>
          <w:kern w:val="0"/>
          <w:sz w:val="28"/>
          <w:szCs w:val="28"/>
        </w:rPr>
        <w:t>考试安全与防范措施</w:t>
      </w:r>
    </w:p>
    <w:p>
      <w:pPr>
        <w:pStyle w:val="15"/>
        <w:numPr>
          <w:ilvl w:val="0"/>
          <w:numId w:val="1"/>
        </w:numPr>
        <w:ind w:firstLineChars="0"/>
        <w:jc w:val="left"/>
        <w:rPr>
          <w:rFonts w:eastAsia="华文仿宋"/>
          <w:bCs/>
          <w:kern w:val="0"/>
          <w:sz w:val="28"/>
          <w:szCs w:val="28"/>
        </w:rPr>
      </w:pPr>
      <w:r>
        <w:rPr>
          <w:rFonts w:eastAsia="华文仿宋"/>
          <w:bCs/>
          <w:kern w:val="0"/>
          <w:sz w:val="28"/>
          <w:szCs w:val="28"/>
        </w:rPr>
        <w:t>考试测评与语言能力标准对接中的若干问题</w:t>
      </w:r>
    </w:p>
    <w:p>
      <w:pPr>
        <w:pStyle w:val="15"/>
        <w:numPr>
          <w:ilvl w:val="0"/>
          <w:numId w:val="1"/>
        </w:numPr>
        <w:ind w:firstLineChars="0"/>
        <w:jc w:val="left"/>
        <w:rPr>
          <w:rFonts w:eastAsia="华文仿宋"/>
          <w:bCs/>
          <w:kern w:val="0"/>
          <w:sz w:val="28"/>
          <w:szCs w:val="28"/>
        </w:rPr>
      </w:pPr>
      <w:r>
        <w:rPr>
          <w:rFonts w:eastAsia="华文仿宋"/>
          <w:bCs/>
          <w:kern w:val="0"/>
          <w:sz w:val="28"/>
          <w:szCs w:val="28"/>
        </w:rPr>
        <w:t>标准化考试的评分方案及成绩报告</w:t>
      </w:r>
    </w:p>
    <w:p>
      <w:pPr>
        <w:pStyle w:val="15"/>
        <w:numPr>
          <w:ilvl w:val="0"/>
          <w:numId w:val="1"/>
        </w:numPr>
        <w:ind w:firstLineChars="0"/>
        <w:jc w:val="left"/>
        <w:rPr>
          <w:rFonts w:eastAsia="华文仿宋"/>
          <w:bCs/>
          <w:kern w:val="0"/>
          <w:sz w:val="28"/>
          <w:szCs w:val="28"/>
        </w:rPr>
      </w:pPr>
      <w:r>
        <w:rPr>
          <w:rFonts w:eastAsia="华文仿宋"/>
          <w:bCs/>
          <w:kern w:val="0"/>
          <w:sz w:val="28"/>
          <w:szCs w:val="28"/>
        </w:rPr>
        <w:t>汉语水平考试与高校留学生招生录取分数线的关系</w:t>
      </w:r>
    </w:p>
    <w:p>
      <w:pPr>
        <w:pStyle w:val="15"/>
        <w:numPr>
          <w:ilvl w:val="0"/>
          <w:numId w:val="1"/>
        </w:numPr>
        <w:ind w:firstLineChars="0"/>
        <w:jc w:val="left"/>
        <w:rPr>
          <w:rFonts w:eastAsia="华文仿宋"/>
          <w:bCs/>
          <w:kern w:val="0"/>
          <w:sz w:val="28"/>
          <w:szCs w:val="28"/>
        </w:rPr>
      </w:pPr>
      <w:r>
        <w:rPr>
          <w:rFonts w:eastAsia="华文仿宋"/>
          <w:bCs/>
          <w:kern w:val="0"/>
          <w:sz w:val="28"/>
          <w:szCs w:val="28"/>
        </w:rPr>
        <w:t>笔试成绩与面试成绩的一致性</w:t>
      </w:r>
    </w:p>
    <w:p>
      <w:pPr>
        <w:pStyle w:val="15"/>
        <w:numPr>
          <w:ilvl w:val="0"/>
          <w:numId w:val="1"/>
        </w:numPr>
        <w:ind w:firstLineChars="0"/>
        <w:jc w:val="left"/>
        <w:rPr>
          <w:rFonts w:eastAsia="华文仿宋"/>
          <w:bCs/>
          <w:kern w:val="0"/>
          <w:sz w:val="28"/>
          <w:szCs w:val="28"/>
        </w:rPr>
      </w:pPr>
      <w:r>
        <w:rPr>
          <w:rFonts w:eastAsia="华文仿宋"/>
          <w:bCs/>
          <w:kern w:val="0"/>
          <w:sz w:val="28"/>
          <w:szCs w:val="28"/>
        </w:rPr>
        <w:t>主观题评分者一致性</w:t>
      </w:r>
    </w:p>
    <w:p>
      <w:pPr>
        <w:ind w:firstLine="560" w:firstLineChars="200"/>
        <w:jc w:val="left"/>
        <w:rPr>
          <w:rFonts w:eastAsia="华文仿宋"/>
          <w:bCs/>
          <w:kern w:val="0"/>
          <w:sz w:val="28"/>
          <w:szCs w:val="28"/>
        </w:rPr>
      </w:pPr>
      <w:r>
        <w:rPr>
          <w:rFonts w:hint="eastAsia" w:eastAsia="华文仿宋"/>
          <w:bCs/>
          <w:kern w:val="0"/>
          <w:sz w:val="28"/>
          <w:szCs w:val="28"/>
        </w:rPr>
        <w:t>二、国际中文学习与教学研究</w:t>
      </w:r>
    </w:p>
    <w:p>
      <w:pPr>
        <w:pStyle w:val="15"/>
        <w:numPr>
          <w:ilvl w:val="0"/>
          <w:numId w:val="2"/>
        </w:numPr>
        <w:ind w:firstLineChars="0"/>
        <w:jc w:val="left"/>
        <w:rPr>
          <w:rFonts w:eastAsia="华文仿宋"/>
          <w:bCs/>
          <w:kern w:val="0"/>
          <w:sz w:val="28"/>
          <w:szCs w:val="28"/>
        </w:rPr>
      </w:pPr>
      <w:r>
        <w:rPr>
          <w:rFonts w:eastAsia="华文仿宋"/>
          <w:bCs/>
          <w:kern w:val="0"/>
          <w:sz w:val="28"/>
          <w:szCs w:val="28"/>
        </w:rPr>
        <w:t>国际中文课程体系、教学大纲</w:t>
      </w:r>
      <w:r>
        <w:rPr>
          <w:rFonts w:hint="eastAsia" w:eastAsia="华文仿宋"/>
          <w:bCs/>
          <w:kern w:val="0"/>
          <w:sz w:val="28"/>
          <w:szCs w:val="28"/>
        </w:rPr>
        <w:t>研究</w:t>
      </w:r>
    </w:p>
    <w:p>
      <w:pPr>
        <w:pStyle w:val="15"/>
        <w:numPr>
          <w:ilvl w:val="0"/>
          <w:numId w:val="2"/>
        </w:numPr>
        <w:ind w:firstLineChars="0"/>
        <w:jc w:val="left"/>
        <w:rPr>
          <w:rFonts w:eastAsia="华文仿宋"/>
          <w:bCs/>
          <w:kern w:val="0"/>
          <w:sz w:val="28"/>
          <w:szCs w:val="28"/>
        </w:rPr>
      </w:pPr>
      <w:r>
        <w:rPr>
          <w:rFonts w:hint="eastAsia" w:eastAsia="华文仿宋"/>
          <w:bCs/>
          <w:kern w:val="0"/>
          <w:sz w:val="28"/>
          <w:szCs w:val="28"/>
        </w:rPr>
        <w:t>国际中文</w:t>
      </w:r>
      <w:r>
        <w:rPr>
          <w:rFonts w:eastAsia="华文仿宋"/>
          <w:bCs/>
          <w:kern w:val="0"/>
          <w:sz w:val="28"/>
          <w:szCs w:val="28"/>
        </w:rPr>
        <w:t>网络</w:t>
      </w:r>
      <w:r>
        <w:rPr>
          <w:rFonts w:hint="eastAsia" w:eastAsia="华文仿宋"/>
          <w:bCs/>
          <w:kern w:val="0"/>
          <w:sz w:val="28"/>
          <w:szCs w:val="28"/>
        </w:rPr>
        <w:t>学习与</w:t>
      </w:r>
      <w:r>
        <w:rPr>
          <w:rFonts w:eastAsia="华文仿宋"/>
          <w:bCs/>
          <w:kern w:val="0"/>
          <w:sz w:val="28"/>
          <w:szCs w:val="28"/>
        </w:rPr>
        <w:t>教学</w:t>
      </w:r>
      <w:r>
        <w:rPr>
          <w:rFonts w:hint="eastAsia" w:eastAsia="华文仿宋"/>
          <w:bCs/>
          <w:kern w:val="0"/>
          <w:sz w:val="28"/>
          <w:szCs w:val="28"/>
        </w:rPr>
        <w:t>研究</w:t>
      </w:r>
    </w:p>
    <w:p>
      <w:pPr>
        <w:pStyle w:val="15"/>
        <w:numPr>
          <w:ilvl w:val="0"/>
          <w:numId w:val="2"/>
        </w:numPr>
        <w:ind w:firstLineChars="0"/>
        <w:jc w:val="left"/>
        <w:rPr>
          <w:rFonts w:eastAsia="华文仿宋"/>
          <w:bCs/>
          <w:kern w:val="0"/>
          <w:sz w:val="28"/>
          <w:szCs w:val="28"/>
        </w:rPr>
      </w:pPr>
      <w:r>
        <w:rPr>
          <w:rFonts w:eastAsia="华文仿宋"/>
          <w:bCs/>
          <w:kern w:val="0"/>
          <w:sz w:val="28"/>
          <w:szCs w:val="28"/>
        </w:rPr>
        <w:t>多元环境下的</w:t>
      </w:r>
      <w:r>
        <w:rPr>
          <w:rFonts w:hint="eastAsia" w:eastAsia="华文仿宋"/>
          <w:bCs/>
          <w:kern w:val="0"/>
          <w:sz w:val="28"/>
          <w:szCs w:val="28"/>
        </w:rPr>
        <w:t>国际中文</w:t>
      </w:r>
      <w:r>
        <w:rPr>
          <w:rFonts w:eastAsia="华文仿宋"/>
          <w:bCs/>
          <w:kern w:val="0"/>
          <w:sz w:val="28"/>
          <w:szCs w:val="28"/>
        </w:rPr>
        <w:t>学习研究</w:t>
      </w:r>
    </w:p>
    <w:p>
      <w:pPr>
        <w:pStyle w:val="15"/>
        <w:numPr>
          <w:ilvl w:val="0"/>
          <w:numId w:val="2"/>
        </w:numPr>
        <w:ind w:firstLineChars="0"/>
        <w:jc w:val="left"/>
        <w:rPr>
          <w:rFonts w:eastAsia="华文仿宋"/>
          <w:bCs/>
          <w:kern w:val="0"/>
          <w:sz w:val="28"/>
          <w:szCs w:val="28"/>
        </w:rPr>
      </w:pPr>
      <w:r>
        <w:rPr>
          <w:rFonts w:eastAsia="华文仿宋"/>
          <w:bCs/>
          <w:kern w:val="0"/>
          <w:sz w:val="28"/>
          <w:szCs w:val="28"/>
        </w:rPr>
        <w:t>考试对学习的反拨作用</w:t>
      </w:r>
    </w:p>
    <w:p>
      <w:pPr>
        <w:ind w:firstLine="560" w:firstLineChars="200"/>
        <w:jc w:val="left"/>
        <w:rPr>
          <w:rFonts w:eastAsia="华文仿宋"/>
          <w:bCs/>
          <w:kern w:val="0"/>
          <w:sz w:val="28"/>
          <w:szCs w:val="28"/>
        </w:rPr>
      </w:pPr>
      <w:r>
        <w:rPr>
          <w:rFonts w:hint="eastAsia" w:eastAsia="华文仿宋"/>
          <w:bCs/>
          <w:kern w:val="0"/>
          <w:sz w:val="28"/>
          <w:szCs w:val="28"/>
        </w:rPr>
        <w:t>三、</w:t>
      </w:r>
      <w:r>
        <w:rPr>
          <w:rFonts w:eastAsia="华文仿宋"/>
          <w:bCs/>
          <w:kern w:val="0"/>
          <w:sz w:val="28"/>
          <w:szCs w:val="28"/>
        </w:rPr>
        <w:t>现代科技应用于汉语教学与测试</w:t>
      </w:r>
    </w:p>
    <w:p>
      <w:pPr>
        <w:pStyle w:val="15"/>
        <w:numPr>
          <w:ilvl w:val="0"/>
          <w:numId w:val="3"/>
        </w:numPr>
        <w:ind w:firstLineChars="0"/>
        <w:jc w:val="left"/>
        <w:rPr>
          <w:rFonts w:eastAsia="华文仿宋"/>
          <w:bCs/>
          <w:kern w:val="0"/>
          <w:sz w:val="28"/>
          <w:szCs w:val="28"/>
        </w:rPr>
      </w:pPr>
      <w:r>
        <w:rPr>
          <w:rFonts w:eastAsia="华文仿宋"/>
          <w:bCs/>
          <w:kern w:val="0"/>
          <w:sz w:val="28"/>
          <w:szCs w:val="28"/>
        </w:rPr>
        <w:t>计算机自动评分技术</w:t>
      </w:r>
    </w:p>
    <w:p>
      <w:pPr>
        <w:pStyle w:val="15"/>
        <w:numPr>
          <w:ilvl w:val="0"/>
          <w:numId w:val="3"/>
        </w:numPr>
        <w:ind w:firstLineChars="0"/>
        <w:jc w:val="left"/>
        <w:rPr>
          <w:rFonts w:eastAsia="华文仿宋"/>
          <w:bCs/>
          <w:kern w:val="0"/>
          <w:sz w:val="28"/>
          <w:szCs w:val="28"/>
        </w:rPr>
      </w:pPr>
      <w:r>
        <w:rPr>
          <w:rFonts w:eastAsia="华文仿宋"/>
          <w:bCs/>
          <w:kern w:val="0"/>
          <w:sz w:val="28"/>
          <w:szCs w:val="28"/>
        </w:rPr>
        <w:t>人工智能在网上阅卷中的应用</w:t>
      </w:r>
    </w:p>
    <w:p>
      <w:pPr>
        <w:pStyle w:val="15"/>
        <w:numPr>
          <w:ilvl w:val="0"/>
          <w:numId w:val="3"/>
        </w:numPr>
        <w:ind w:firstLineChars="0"/>
        <w:jc w:val="left"/>
        <w:rPr>
          <w:rFonts w:eastAsia="华文仿宋"/>
          <w:bCs/>
          <w:kern w:val="0"/>
          <w:sz w:val="28"/>
          <w:szCs w:val="28"/>
        </w:rPr>
      </w:pPr>
      <w:r>
        <w:rPr>
          <w:rFonts w:eastAsia="华文仿宋"/>
          <w:bCs/>
          <w:kern w:val="0"/>
          <w:sz w:val="28"/>
          <w:szCs w:val="28"/>
        </w:rPr>
        <w:t>智慧汉语学习</w:t>
      </w:r>
    </w:p>
    <w:p>
      <w:pPr>
        <w:pStyle w:val="15"/>
        <w:numPr>
          <w:ilvl w:val="0"/>
          <w:numId w:val="3"/>
        </w:numPr>
        <w:ind w:firstLineChars="0"/>
        <w:jc w:val="left"/>
        <w:rPr>
          <w:rFonts w:eastAsia="华文仿宋"/>
          <w:bCs/>
          <w:kern w:val="0"/>
          <w:sz w:val="28"/>
          <w:szCs w:val="28"/>
        </w:rPr>
      </w:pPr>
      <w:r>
        <w:rPr>
          <w:rFonts w:eastAsia="华文仿宋"/>
          <w:bCs/>
          <w:kern w:val="0"/>
          <w:sz w:val="28"/>
          <w:szCs w:val="28"/>
        </w:rPr>
        <w:t>基于移动/云的网络课程的汉语学习与评估</w:t>
      </w:r>
    </w:p>
    <w:p>
      <w:pPr>
        <w:pStyle w:val="15"/>
        <w:spacing w:before="312" w:beforeLines="100" w:after="240"/>
        <w:ind w:firstLine="0" w:firstLineChars="0"/>
        <w:jc w:val="center"/>
        <w:rPr>
          <w:rFonts w:ascii="华文中宋" w:hAnsi="华文中宋" w:eastAsia="华文中宋"/>
          <w:bCs/>
          <w:color w:val="000000"/>
          <w:kern w:val="0"/>
          <w:sz w:val="32"/>
          <w:szCs w:val="32"/>
        </w:rPr>
      </w:pPr>
      <w:r>
        <w:rPr>
          <w:rFonts w:hint="eastAsia" w:ascii="华文中宋" w:hAnsi="华文中宋" w:eastAsia="华文中宋"/>
          <w:bCs/>
          <w:color w:val="000000"/>
          <w:kern w:val="0"/>
          <w:sz w:val="32"/>
          <w:szCs w:val="32"/>
        </w:rPr>
        <w:t>申报说明</w:t>
      </w:r>
    </w:p>
    <w:p>
      <w:pPr>
        <w:ind w:firstLine="560" w:firstLineChars="20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一、申报汉考国际科研基金项目，应紧随国家大政方针，着眼国际中文教育事业，基础研究要力求具有原创性、开拓性和较高的学术思想价值，应用研究要具有现实性、针对性和较强的政策参考价值，着力推出体现国家水准的研究成果。</w:t>
      </w:r>
    </w:p>
    <w:p>
      <w:pPr>
        <w:ind w:firstLine="560" w:firstLineChars="20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二、《课题指南》只规定课题研究范围和方向，申请人要据此自行设计具体题目。同时鼓励申请人根据研究兴趣和学术积累自选课题申报（包括重点项目）。自选课题与按《课题指南》申报的课题在评审程序、评审标准、立项指标、资助强度等方面同等对待。</w:t>
      </w:r>
    </w:p>
    <w:p>
      <w:pPr>
        <w:ind w:firstLine="560" w:firstLineChars="20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三、课题申请人须具备下列条件：</w:t>
      </w:r>
    </w:p>
    <w:p>
      <w:pPr>
        <w:pStyle w:val="15"/>
        <w:numPr>
          <w:ilvl w:val="0"/>
          <w:numId w:val="4"/>
        </w:numPr>
        <w:ind w:firstLineChars="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遵守中华人民共和国宪法和法律；</w:t>
      </w:r>
    </w:p>
    <w:p>
      <w:pPr>
        <w:pStyle w:val="15"/>
        <w:numPr>
          <w:ilvl w:val="0"/>
          <w:numId w:val="4"/>
        </w:numPr>
        <w:ind w:firstLineChars="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具有独立开展研究和组织开展研究的能力，能够承担实质性研究工作；</w:t>
      </w:r>
    </w:p>
    <w:p>
      <w:pPr>
        <w:pStyle w:val="15"/>
        <w:numPr>
          <w:ilvl w:val="0"/>
          <w:numId w:val="4"/>
        </w:numPr>
        <w:ind w:firstLineChars="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具有副高级以上（含）专业技术职称（职务），或者具有博士学位。</w:t>
      </w:r>
    </w:p>
    <w:p>
      <w:pPr>
        <w:ind w:firstLine="560" w:firstLineChars="20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四、为避免一题多报、交叉申请和重复立项，确保申请人有足够的时间和精力从事课题研究，</w:t>
      </w:r>
      <w:r>
        <w:rPr>
          <w:rFonts w:eastAsia="华文仿宋"/>
          <w:bCs/>
          <w:color w:val="000000"/>
          <w:kern w:val="0"/>
          <w:sz w:val="28"/>
          <w:szCs w:val="28"/>
        </w:rPr>
        <w:t>2020</w:t>
      </w:r>
      <w:r>
        <w:rPr>
          <w:rFonts w:hint="eastAsia" w:ascii="华文仿宋" w:hAnsi="华文仿宋" w:eastAsia="华文仿宋"/>
          <w:bCs/>
          <w:color w:val="000000"/>
          <w:kern w:val="0"/>
          <w:sz w:val="28"/>
          <w:szCs w:val="28"/>
        </w:rPr>
        <w:t>年度汉考国际科研基金项目申请作如下限定：</w:t>
      </w:r>
    </w:p>
    <w:p>
      <w:pPr>
        <w:pStyle w:val="15"/>
        <w:numPr>
          <w:ilvl w:val="0"/>
          <w:numId w:val="5"/>
        </w:numPr>
        <w:ind w:firstLineChars="0"/>
        <w:jc w:val="left"/>
        <w:rPr>
          <w:rFonts w:ascii="华文仿宋" w:hAnsi="华文仿宋" w:eastAsia="华文仿宋"/>
          <w:bCs/>
          <w:color w:val="000000"/>
          <w:kern w:val="0"/>
          <w:sz w:val="28"/>
          <w:szCs w:val="28"/>
        </w:rPr>
      </w:pPr>
      <w:r>
        <w:rPr>
          <w:rFonts w:ascii="华文仿宋" w:hAnsi="华文仿宋" w:eastAsia="华文仿宋"/>
          <w:bCs/>
          <w:color w:val="000000"/>
          <w:kern w:val="0"/>
          <w:sz w:val="28"/>
          <w:szCs w:val="28"/>
        </w:rPr>
        <w:t>申请人每次只能申报一个</w:t>
      </w:r>
      <w:r>
        <w:rPr>
          <w:rFonts w:hint="eastAsia" w:ascii="华文仿宋" w:hAnsi="华文仿宋" w:eastAsia="华文仿宋"/>
          <w:bCs/>
          <w:color w:val="000000"/>
          <w:kern w:val="0"/>
          <w:sz w:val="28"/>
          <w:szCs w:val="28"/>
        </w:rPr>
        <w:t>课题，既往承担的汉考国际科研基金项目已按规定结项，且不存在违规行为；</w:t>
      </w:r>
    </w:p>
    <w:p>
      <w:pPr>
        <w:pStyle w:val="15"/>
        <w:numPr>
          <w:ilvl w:val="0"/>
          <w:numId w:val="5"/>
        </w:numPr>
        <w:ind w:firstLineChars="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申请人同年度不得作为课题组成员参与汉考国际其他科研基金项目的申请，课题组成员同年度最多参加两个汉考国际科研基金项目；</w:t>
      </w:r>
    </w:p>
    <w:p>
      <w:pPr>
        <w:pStyle w:val="15"/>
        <w:numPr>
          <w:ilvl w:val="0"/>
          <w:numId w:val="5"/>
        </w:numPr>
        <w:ind w:firstLineChars="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申请资助项目的相关研究已获得其他资助的，应当在申请材料中说明所申请项目与已承担项目的联系和区别，不得以其他基金项目成果申请结项；</w:t>
      </w:r>
    </w:p>
    <w:p>
      <w:pPr>
        <w:pStyle w:val="15"/>
        <w:numPr>
          <w:ilvl w:val="0"/>
          <w:numId w:val="5"/>
        </w:numPr>
        <w:ind w:firstLineChars="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凡以博士学位论文或博士后出站报告为基础申报汉考国际科研基金项目，须在申请材料中注明所申请项目与学位论文（出站报告）的联系和区别，申请结项时需提交学位论文（出站报告）原件；</w:t>
      </w:r>
    </w:p>
    <w:p>
      <w:pPr>
        <w:pStyle w:val="15"/>
        <w:numPr>
          <w:ilvl w:val="0"/>
          <w:numId w:val="5"/>
        </w:numPr>
        <w:ind w:firstLineChars="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已</w:t>
      </w:r>
      <w:r>
        <w:rPr>
          <w:rFonts w:ascii="华文仿宋" w:hAnsi="华文仿宋" w:eastAsia="华文仿宋"/>
          <w:bCs/>
          <w:color w:val="000000"/>
          <w:kern w:val="0"/>
          <w:sz w:val="28"/>
          <w:szCs w:val="28"/>
        </w:rPr>
        <w:t>获得立项的国家和省部级项目及子项目</w:t>
      </w:r>
      <w:r>
        <w:rPr>
          <w:rFonts w:hint="eastAsia" w:ascii="华文仿宋" w:hAnsi="华文仿宋" w:eastAsia="华文仿宋"/>
          <w:bCs/>
          <w:color w:val="000000"/>
          <w:kern w:val="0"/>
          <w:sz w:val="28"/>
          <w:szCs w:val="28"/>
        </w:rPr>
        <w:t>，</w:t>
      </w:r>
      <w:r>
        <w:rPr>
          <w:rFonts w:ascii="华文仿宋" w:hAnsi="华文仿宋" w:eastAsia="华文仿宋"/>
          <w:bCs/>
          <w:color w:val="000000"/>
          <w:kern w:val="0"/>
          <w:sz w:val="28"/>
          <w:szCs w:val="28"/>
        </w:rPr>
        <w:t>不得重复申请汉考国际科研</w:t>
      </w:r>
      <w:r>
        <w:rPr>
          <w:rFonts w:hint="eastAsia" w:ascii="华文仿宋" w:hAnsi="华文仿宋" w:eastAsia="华文仿宋"/>
          <w:bCs/>
          <w:color w:val="000000"/>
          <w:kern w:val="0"/>
          <w:sz w:val="28"/>
          <w:szCs w:val="28"/>
        </w:rPr>
        <w:t>项目；</w:t>
      </w:r>
    </w:p>
    <w:p>
      <w:pPr>
        <w:pStyle w:val="15"/>
        <w:numPr>
          <w:ilvl w:val="0"/>
          <w:numId w:val="5"/>
        </w:numPr>
        <w:ind w:firstLineChars="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不得以已出版的内容基本相同的研究成果申请汉考国际科研基金项目。</w:t>
      </w:r>
    </w:p>
    <w:p>
      <w:pPr>
        <w:ind w:firstLine="560" w:firstLineChars="20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五、</w:t>
      </w:r>
      <w:r>
        <w:rPr>
          <w:rFonts w:eastAsia="华文仿宋"/>
          <w:bCs/>
          <w:color w:val="000000"/>
          <w:kern w:val="0"/>
          <w:sz w:val="28"/>
          <w:szCs w:val="28"/>
        </w:rPr>
        <w:t>2020年度汉考国际申报课题的资助额度为：重点项目10万</w:t>
      </w:r>
      <w:r>
        <w:rPr>
          <w:rFonts w:eastAsia="华文仿宋"/>
          <w:bCs/>
          <w:color w:val="000000"/>
          <w:spacing w:val="-10"/>
          <w:kern w:val="0"/>
          <w:sz w:val="28"/>
          <w:szCs w:val="28"/>
        </w:rPr>
        <w:t>元，一般项目3万元</w:t>
      </w:r>
      <w:r>
        <w:rPr>
          <w:rFonts w:ascii="华文仿宋" w:hAnsi="华文仿宋" w:eastAsia="华文仿宋"/>
          <w:bCs/>
          <w:color w:val="000000"/>
          <w:spacing w:val="-10"/>
          <w:kern w:val="0"/>
          <w:sz w:val="28"/>
          <w:szCs w:val="28"/>
        </w:rPr>
        <w:t>。申请人应根据实际需要编制科学合理的经费预算。</w:t>
      </w:r>
    </w:p>
    <w:p>
      <w:pPr>
        <w:ind w:firstLine="560" w:firstLineChars="20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六、汉考国际科研基金项目需在</w:t>
      </w:r>
      <w:r>
        <w:rPr>
          <w:rFonts w:ascii="华文仿宋" w:hAnsi="华文仿宋" w:eastAsia="华文仿宋"/>
          <w:bCs/>
          <w:color w:val="000000"/>
          <w:kern w:val="0"/>
          <w:sz w:val="28"/>
          <w:szCs w:val="28"/>
        </w:rPr>
        <w:t>两</w:t>
      </w:r>
      <w:r>
        <w:rPr>
          <w:rFonts w:hint="eastAsia" w:ascii="华文仿宋" w:hAnsi="华文仿宋" w:eastAsia="华文仿宋"/>
          <w:bCs/>
          <w:color w:val="000000"/>
          <w:kern w:val="0"/>
          <w:sz w:val="28"/>
          <w:szCs w:val="28"/>
        </w:rPr>
        <w:t>年内完成，如遇特殊情况，可由项目负责人提出书面申请延长一年。</w:t>
      </w:r>
    </w:p>
    <w:p>
      <w:pPr>
        <w:ind w:firstLine="560" w:firstLineChars="20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七、申报课题须按照《汉考国际科研基金项目申请书》和《汉考国际科研基金项目课题论证活页》（以下简称《活页》）要求，如实填写资料，并保证没有知识产权争议。</w:t>
      </w:r>
      <w:r>
        <w:rPr>
          <w:rFonts w:hint="eastAsia" w:ascii="华文仿宋" w:hAnsi="华文仿宋" w:eastAsia="华文仿宋"/>
          <w:sz w:val="28"/>
        </w:rPr>
        <w:t>凡查实存在弄虚作假、抄袭剽</w:t>
      </w:r>
      <w:r>
        <w:rPr>
          <w:rFonts w:hint="eastAsia" w:ascii="华文仿宋" w:hAnsi="华文仿宋" w:eastAsia="华文仿宋"/>
          <w:spacing w:val="-10"/>
          <w:sz w:val="28"/>
        </w:rPr>
        <w:t>窃等行为的申请人，将取消其三年内的科研基金项目申报资格。</w:t>
      </w:r>
    </w:p>
    <w:p>
      <w:pPr>
        <w:ind w:firstLine="560" w:firstLineChars="20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八、申报课题全部实行同行专家评审，评审采用《活页》匿名方式，申请人须按照《活页》要求填写具体内容，不得出现任何与申请人或课题组成员相关的个人信息及背景资料，否则取消参评资格。</w:t>
      </w:r>
    </w:p>
    <w:p>
      <w:pPr>
        <w:ind w:firstLine="560" w:firstLineChars="20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九、获准立项的课题负责人须在一个月内签订合作协议，在项目执行期间须遵守相关承诺，履行约定义务，自行组织开题论证会议并提交课题研究计划、定期参加汉考国际组织的中期检查会议与结项鉴定会议，按期完成研究任务。除特殊情况外，最终研究成果须先鉴定、后出版，擅自出版者视为自行终止合作协议。</w:t>
      </w:r>
    </w:p>
    <w:p>
      <w:pPr>
        <w:ind w:firstLine="560" w:firstLineChars="20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十、课题研究成果可以包括著作、论文（集）、研究报告、课程、教材、软件、数据库、语料库、系统、专利发明等多种形式。课</w:t>
      </w:r>
      <w:r>
        <w:rPr>
          <w:rFonts w:hint="eastAsia" w:ascii="华文仿宋" w:hAnsi="华文仿宋" w:eastAsia="华文仿宋"/>
          <w:bCs/>
          <w:color w:val="000000"/>
          <w:spacing w:val="-10"/>
          <w:kern w:val="0"/>
          <w:sz w:val="28"/>
          <w:szCs w:val="28"/>
        </w:rPr>
        <w:t>题结项时，课题负责人须在核心期刊上以第一作者的身份发表一篇论文。</w:t>
      </w:r>
    </w:p>
    <w:p>
      <w:pPr>
        <w:ind w:firstLine="560" w:firstLineChars="20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十一、</w:t>
      </w:r>
      <w:r>
        <w:rPr>
          <w:rFonts w:hint="eastAsia" w:ascii="华文仿宋" w:hAnsi="华文仿宋" w:eastAsia="华文仿宋"/>
          <w:sz w:val="28"/>
          <w:szCs w:val="28"/>
        </w:rPr>
        <w:t>凡与汉考国际科研基金项目相关的阶段性成果或最终成果，发表时须在醒目位置标明“汉考国际科研基金项目“项目名称”（项目编号）资助”等信息。</w:t>
      </w:r>
    </w:p>
    <w:p>
      <w:pPr>
        <w:ind w:firstLine="560" w:firstLineChars="20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十二、课题研究过程中如需相关的考试数据，课题负责人须依照汉考国际科研数据申请要求及流程进行申请（数据使用协议另行签署），获取数据后，应严格遵守协议中的保密条款，不得向第三方泄露信息。</w:t>
      </w:r>
    </w:p>
    <w:p>
      <w:pPr>
        <w:ind w:firstLine="560" w:firstLineChars="200"/>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十三、课题</w:t>
      </w:r>
      <w:r>
        <w:rPr>
          <w:rFonts w:ascii="华文仿宋" w:hAnsi="华文仿宋" w:eastAsia="华文仿宋"/>
          <w:bCs/>
          <w:color w:val="000000"/>
          <w:kern w:val="0"/>
          <w:sz w:val="28"/>
          <w:szCs w:val="28"/>
        </w:rPr>
        <w:t>申请通知</w:t>
      </w:r>
      <w:r>
        <w:rPr>
          <w:rFonts w:hint="eastAsia" w:ascii="华文仿宋" w:hAnsi="华文仿宋" w:eastAsia="华文仿宋"/>
          <w:bCs/>
          <w:color w:val="000000"/>
          <w:kern w:val="0"/>
          <w:sz w:val="28"/>
          <w:szCs w:val="28"/>
        </w:rPr>
        <w:t>、</w:t>
      </w:r>
      <w:r>
        <w:rPr>
          <w:rFonts w:ascii="华文仿宋" w:hAnsi="华文仿宋" w:eastAsia="华文仿宋"/>
          <w:bCs/>
          <w:color w:val="000000"/>
          <w:kern w:val="0"/>
          <w:sz w:val="28"/>
          <w:szCs w:val="28"/>
        </w:rPr>
        <w:t>立项公示等信息将在</w:t>
      </w:r>
      <w:r>
        <w:rPr>
          <w:rFonts w:hint="eastAsia" w:ascii="华文仿宋" w:hAnsi="华文仿宋" w:eastAsia="华文仿宋"/>
          <w:bCs/>
          <w:color w:val="000000"/>
          <w:kern w:val="0"/>
          <w:sz w:val="28"/>
          <w:szCs w:val="28"/>
        </w:rPr>
        <w:t>汉语考试服务网</w:t>
      </w:r>
      <w:r>
        <w:fldChar w:fldCharType="begin"/>
      </w:r>
      <w:r>
        <w:instrText xml:space="preserve"> HYPERLINK "http://www.chinesetest.cn/" </w:instrText>
      </w:r>
      <w:r>
        <w:fldChar w:fldCharType="separate"/>
      </w:r>
      <w:r>
        <w:rPr>
          <w:rStyle w:val="10"/>
          <w:rFonts w:eastAsia="华文仿宋"/>
          <w:bCs/>
          <w:kern w:val="0"/>
          <w:sz w:val="28"/>
          <w:szCs w:val="28"/>
        </w:rPr>
        <w:t>http://www.chinesetest.cn/</w:t>
      </w:r>
      <w:r>
        <w:rPr>
          <w:rStyle w:val="10"/>
          <w:rFonts w:eastAsia="华文仿宋"/>
          <w:bCs/>
          <w:kern w:val="0"/>
          <w:sz w:val="28"/>
          <w:szCs w:val="28"/>
        </w:rPr>
        <w:fldChar w:fldCharType="end"/>
      </w:r>
      <w:r>
        <w:rPr>
          <w:rFonts w:hint="eastAsia" w:ascii="华文仿宋" w:hAnsi="华文仿宋" w:eastAsia="华文仿宋"/>
          <w:bCs/>
          <w:color w:val="000000"/>
          <w:kern w:val="0"/>
          <w:sz w:val="28"/>
          <w:szCs w:val="28"/>
        </w:rPr>
        <w:t>、</w:t>
      </w:r>
      <w:r>
        <w:rPr>
          <w:rFonts w:ascii="华文仿宋" w:hAnsi="华文仿宋" w:eastAsia="华文仿宋"/>
          <w:bCs/>
          <w:color w:val="000000"/>
          <w:kern w:val="0"/>
          <w:sz w:val="28"/>
          <w:szCs w:val="28"/>
        </w:rPr>
        <w:t>汉考国际</w:t>
      </w:r>
      <w:r>
        <w:rPr>
          <w:rFonts w:hint="eastAsia" w:ascii="华文仿宋" w:hAnsi="华文仿宋" w:eastAsia="华文仿宋"/>
          <w:bCs/>
          <w:color w:val="000000"/>
          <w:kern w:val="0"/>
          <w:sz w:val="28"/>
          <w:szCs w:val="28"/>
        </w:rPr>
        <w:t>人才</w:t>
      </w:r>
      <w:r>
        <w:rPr>
          <w:rFonts w:ascii="华文仿宋" w:hAnsi="华文仿宋" w:eastAsia="华文仿宋"/>
          <w:bCs/>
          <w:color w:val="000000"/>
          <w:kern w:val="0"/>
          <w:sz w:val="28"/>
          <w:szCs w:val="28"/>
        </w:rPr>
        <w:t>网</w:t>
      </w:r>
      <w:r>
        <w:fldChar w:fldCharType="begin"/>
      </w:r>
      <w:r>
        <w:instrText xml:space="preserve"> HYPERLINK "http://hr.chinesetest.cn/" </w:instrText>
      </w:r>
      <w:r>
        <w:fldChar w:fldCharType="separate"/>
      </w:r>
      <w:r>
        <w:rPr>
          <w:rStyle w:val="10"/>
          <w:rFonts w:eastAsia="华文仿宋"/>
          <w:bCs/>
          <w:kern w:val="0"/>
          <w:sz w:val="28"/>
          <w:szCs w:val="28"/>
        </w:rPr>
        <w:t>http://hr.chinesetest.cn/</w:t>
      </w:r>
      <w:r>
        <w:rPr>
          <w:rStyle w:val="10"/>
          <w:rFonts w:eastAsia="华文仿宋"/>
          <w:bCs/>
          <w:kern w:val="0"/>
          <w:sz w:val="28"/>
          <w:szCs w:val="28"/>
        </w:rPr>
        <w:fldChar w:fldCharType="end"/>
      </w:r>
      <w:r>
        <w:rPr>
          <w:rFonts w:hint="eastAsia" w:ascii="华文仿宋" w:hAnsi="华文仿宋" w:eastAsia="华文仿宋"/>
          <w:bCs/>
          <w:color w:val="000000"/>
          <w:kern w:val="0"/>
          <w:sz w:val="28"/>
          <w:szCs w:val="28"/>
        </w:rPr>
        <w:t>、汉考国际微信公众号“汉考国际CTI”等平台</w:t>
      </w:r>
      <w:r>
        <w:rPr>
          <w:rFonts w:ascii="华文仿宋" w:hAnsi="华文仿宋" w:eastAsia="华文仿宋"/>
          <w:bCs/>
          <w:color w:val="000000"/>
          <w:kern w:val="0"/>
          <w:sz w:val="28"/>
          <w:szCs w:val="28"/>
        </w:rPr>
        <w:t>公布</w:t>
      </w:r>
      <w:r>
        <w:rPr>
          <w:rFonts w:hint="eastAsia" w:ascii="华文仿宋" w:hAnsi="华文仿宋" w:eastAsia="华文仿宋"/>
          <w:bCs/>
          <w:color w:val="000000"/>
          <w:kern w:val="0"/>
          <w:sz w:val="28"/>
          <w:szCs w:val="28"/>
        </w:rPr>
        <w:t>。</w:t>
      </w:r>
    </w:p>
    <w:p>
      <w:pPr>
        <w:ind w:firstLine="560" w:firstLineChars="200"/>
        <w:jc w:val="left"/>
        <w:rPr>
          <w:rFonts w:ascii="华文仿宋" w:hAnsi="华文仿宋" w:eastAsia="华文仿宋"/>
          <w:bCs/>
          <w:color w:val="000000"/>
          <w:kern w:val="0"/>
          <w:sz w:val="28"/>
          <w:szCs w:val="28"/>
        </w:rPr>
      </w:pPr>
      <w:r>
        <w:rPr>
          <w:rFonts w:hint="eastAsia" w:ascii="华文仿宋" w:hAnsi="华文仿宋" w:eastAsia="华文仿宋"/>
          <w:bCs/>
          <w:color w:val="000000"/>
          <w:kern w:val="0"/>
          <w:sz w:val="28"/>
          <w:szCs w:val="28"/>
        </w:rPr>
        <w:t>十四、课题申报截止日期为</w:t>
      </w:r>
      <w:r>
        <w:rPr>
          <w:rFonts w:eastAsia="华文仿宋"/>
          <w:bCs/>
          <w:color w:val="000000"/>
          <w:kern w:val="0"/>
          <w:sz w:val="28"/>
          <w:szCs w:val="28"/>
        </w:rPr>
        <w:t>2020年</w:t>
      </w:r>
      <w:r>
        <w:rPr>
          <w:rFonts w:hint="eastAsia" w:eastAsia="华文仿宋"/>
          <w:bCs/>
          <w:color w:val="000000"/>
          <w:kern w:val="0"/>
          <w:sz w:val="28"/>
          <w:szCs w:val="28"/>
          <w:lang w:val="en-US" w:eastAsia="zh-CN"/>
        </w:rPr>
        <w:t>8</w:t>
      </w:r>
      <w:r>
        <w:rPr>
          <w:rFonts w:eastAsia="华文仿宋"/>
          <w:bCs/>
          <w:color w:val="000000"/>
          <w:kern w:val="0"/>
          <w:sz w:val="28"/>
          <w:szCs w:val="28"/>
        </w:rPr>
        <w:t>月</w:t>
      </w:r>
      <w:r>
        <w:rPr>
          <w:rFonts w:hint="eastAsia" w:eastAsia="华文仿宋"/>
          <w:bCs/>
          <w:color w:val="000000"/>
          <w:kern w:val="0"/>
          <w:sz w:val="28"/>
          <w:szCs w:val="28"/>
          <w:lang w:val="en-US" w:eastAsia="zh-CN"/>
        </w:rPr>
        <w:t>1</w:t>
      </w:r>
      <w:bookmarkStart w:id="0" w:name="_GoBack"/>
      <w:bookmarkEnd w:id="0"/>
      <w:r>
        <w:rPr>
          <w:rFonts w:eastAsia="华文仿宋"/>
          <w:bCs/>
          <w:color w:val="000000"/>
          <w:kern w:val="0"/>
          <w:sz w:val="28"/>
          <w:szCs w:val="28"/>
        </w:rPr>
        <w:t>0</w:t>
      </w:r>
      <w:r>
        <w:rPr>
          <w:rFonts w:hint="eastAsia" w:ascii="华文仿宋" w:hAnsi="华文仿宋" w:eastAsia="华文仿宋"/>
          <w:bCs/>
          <w:color w:val="000000"/>
          <w:kern w:val="0"/>
          <w:sz w:val="28"/>
          <w:szCs w:val="28"/>
        </w:rPr>
        <w:t>日，申请人须先在汉考国际人才网（</w:t>
      </w:r>
      <w:r>
        <w:rPr>
          <w:rFonts w:eastAsia="华文仿宋"/>
          <w:bCs/>
          <w:color w:val="000000"/>
          <w:kern w:val="0"/>
          <w:sz w:val="28"/>
          <w:szCs w:val="28"/>
        </w:rPr>
        <w:t>http://hr.chinesetest.cn/</w:t>
      </w:r>
      <w:r>
        <w:rPr>
          <w:rFonts w:hint="eastAsia" w:ascii="华文仿宋" w:hAnsi="华文仿宋" w:eastAsia="华文仿宋"/>
          <w:bCs/>
          <w:color w:val="000000"/>
          <w:kern w:val="0"/>
          <w:sz w:val="28"/>
          <w:szCs w:val="28"/>
        </w:rPr>
        <w:t>）注册，然后下载《汉考国际科研基金项目申请书》及《汉考国际科研基金项目课题论证活页》，</w:t>
      </w:r>
      <w:r>
        <w:rPr>
          <w:rFonts w:hint="eastAsia" w:ascii="华文仿宋" w:hAnsi="华文仿宋" w:eastAsia="华文仿宋"/>
          <w:sz w:val="28"/>
        </w:rPr>
        <w:t>按照申请书与论证活页中的字数与格式要求填写内容，不得修改表格固定格式。填写完毕后，须将</w:t>
      </w:r>
      <w:r>
        <w:rPr>
          <w:rFonts w:eastAsia="华文仿宋"/>
          <w:sz w:val="28"/>
        </w:rPr>
        <w:t>WORD文件和PDF</w:t>
      </w:r>
      <w:r>
        <w:rPr>
          <w:rFonts w:hint="eastAsia" w:ascii="华文仿宋" w:hAnsi="华文仿宋" w:eastAsia="华文仿宋"/>
          <w:sz w:val="28"/>
        </w:rPr>
        <w:t>文件同时上传。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26386"/>
      <w:docPartObj>
        <w:docPartGallery w:val="autotext"/>
      </w:docPartObj>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DDE"/>
    <w:multiLevelType w:val="multilevel"/>
    <w:tmpl w:val="0CD33DDE"/>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F794561"/>
    <w:multiLevelType w:val="multilevel"/>
    <w:tmpl w:val="0F794561"/>
    <w:lvl w:ilvl="0" w:tentative="0">
      <w:start w:val="1"/>
      <w:numFmt w:val="chineseCountingThousand"/>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25765FCC"/>
    <w:multiLevelType w:val="multilevel"/>
    <w:tmpl w:val="25765FCC"/>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552E1A89"/>
    <w:multiLevelType w:val="multilevel"/>
    <w:tmpl w:val="552E1A8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7C5066EC"/>
    <w:multiLevelType w:val="multilevel"/>
    <w:tmpl w:val="7C5066EC"/>
    <w:lvl w:ilvl="0" w:tentative="0">
      <w:start w:val="1"/>
      <w:numFmt w:val="chineseCountingThousand"/>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F1"/>
    <w:rsid w:val="0001021D"/>
    <w:rsid w:val="000171BF"/>
    <w:rsid w:val="00017848"/>
    <w:rsid w:val="00017E4B"/>
    <w:rsid w:val="000433C4"/>
    <w:rsid w:val="00043F83"/>
    <w:rsid w:val="000448FD"/>
    <w:rsid w:val="000578D3"/>
    <w:rsid w:val="00074F8C"/>
    <w:rsid w:val="00080DA9"/>
    <w:rsid w:val="000C42B1"/>
    <w:rsid w:val="000D6FA7"/>
    <w:rsid w:val="000E1746"/>
    <w:rsid w:val="000F7991"/>
    <w:rsid w:val="00111B5F"/>
    <w:rsid w:val="00125C88"/>
    <w:rsid w:val="00127401"/>
    <w:rsid w:val="0014468E"/>
    <w:rsid w:val="00147379"/>
    <w:rsid w:val="00173E51"/>
    <w:rsid w:val="001832C7"/>
    <w:rsid w:val="001B2A04"/>
    <w:rsid w:val="001B4914"/>
    <w:rsid w:val="001B4C69"/>
    <w:rsid w:val="001B7167"/>
    <w:rsid w:val="001E20B5"/>
    <w:rsid w:val="001E2881"/>
    <w:rsid w:val="001F13C0"/>
    <w:rsid w:val="001F49CF"/>
    <w:rsid w:val="002000B5"/>
    <w:rsid w:val="00205EF6"/>
    <w:rsid w:val="00212A31"/>
    <w:rsid w:val="00271591"/>
    <w:rsid w:val="00274428"/>
    <w:rsid w:val="00287618"/>
    <w:rsid w:val="002B0A7B"/>
    <w:rsid w:val="002B316F"/>
    <w:rsid w:val="002B7C95"/>
    <w:rsid w:val="002C4202"/>
    <w:rsid w:val="002C644C"/>
    <w:rsid w:val="003069C6"/>
    <w:rsid w:val="0031413D"/>
    <w:rsid w:val="003204F1"/>
    <w:rsid w:val="003222F2"/>
    <w:rsid w:val="003462F2"/>
    <w:rsid w:val="00376A65"/>
    <w:rsid w:val="003838D9"/>
    <w:rsid w:val="003A2B6C"/>
    <w:rsid w:val="003B5654"/>
    <w:rsid w:val="003D0118"/>
    <w:rsid w:val="003D33C0"/>
    <w:rsid w:val="003E50F0"/>
    <w:rsid w:val="003E5AB8"/>
    <w:rsid w:val="003E60A7"/>
    <w:rsid w:val="003F7C7E"/>
    <w:rsid w:val="004008EF"/>
    <w:rsid w:val="00407349"/>
    <w:rsid w:val="00414DFF"/>
    <w:rsid w:val="004325EE"/>
    <w:rsid w:val="0044629F"/>
    <w:rsid w:val="00473786"/>
    <w:rsid w:val="0047747F"/>
    <w:rsid w:val="004800E6"/>
    <w:rsid w:val="00485FFA"/>
    <w:rsid w:val="00487FF1"/>
    <w:rsid w:val="004B111F"/>
    <w:rsid w:val="004B467C"/>
    <w:rsid w:val="004C4F28"/>
    <w:rsid w:val="004C6EC1"/>
    <w:rsid w:val="004C7EB7"/>
    <w:rsid w:val="004E23D8"/>
    <w:rsid w:val="004E27DF"/>
    <w:rsid w:val="004F609F"/>
    <w:rsid w:val="005060D0"/>
    <w:rsid w:val="005170D0"/>
    <w:rsid w:val="005202BD"/>
    <w:rsid w:val="0053280F"/>
    <w:rsid w:val="005439A2"/>
    <w:rsid w:val="00545083"/>
    <w:rsid w:val="00572E4A"/>
    <w:rsid w:val="00583A03"/>
    <w:rsid w:val="00596F88"/>
    <w:rsid w:val="005975D1"/>
    <w:rsid w:val="005A54EF"/>
    <w:rsid w:val="005B336E"/>
    <w:rsid w:val="005C6797"/>
    <w:rsid w:val="005E2BAF"/>
    <w:rsid w:val="005E4F60"/>
    <w:rsid w:val="005E7E73"/>
    <w:rsid w:val="005F63A9"/>
    <w:rsid w:val="005F74D2"/>
    <w:rsid w:val="0061182D"/>
    <w:rsid w:val="0064448D"/>
    <w:rsid w:val="00656C84"/>
    <w:rsid w:val="00666BB4"/>
    <w:rsid w:val="006934FC"/>
    <w:rsid w:val="006B6AAD"/>
    <w:rsid w:val="006B79E7"/>
    <w:rsid w:val="006C651F"/>
    <w:rsid w:val="006E03F1"/>
    <w:rsid w:val="006F2520"/>
    <w:rsid w:val="007064CF"/>
    <w:rsid w:val="00717119"/>
    <w:rsid w:val="00721649"/>
    <w:rsid w:val="00723C40"/>
    <w:rsid w:val="00740305"/>
    <w:rsid w:val="00741F6A"/>
    <w:rsid w:val="00743190"/>
    <w:rsid w:val="00751A66"/>
    <w:rsid w:val="00786E86"/>
    <w:rsid w:val="00791F48"/>
    <w:rsid w:val="007A3290"/>
    <w:rsid w:val="007B0498"/>
    <w:rsid w:val="007C0102"/>
    <w:rsid w:val="007C6819"/>
    <w:rsid w:val="007F338B"/>
    <w:rsid w:val="00820D6B"/>
    <w:rsid w:val="00850A0E"/>
    <w:rsid w:val="00862B84"/>
    <w:rsid w:val="008767ED"/>
    <w:rsid w:val="00884CE1"/>
    <w:rsid w:val="00897EC4"/>
    <w:rsid w:val="008A3B85"/>
    <w:rsid w:val="008A5DEC"/>
    <w:rsid w:val="008B1D33"/>
    <w:rsid w:val="008E1446"/>
    <w:rsid w:val="008E3779"/>
    <w:rsid w:val="008F7B68"/>
    <w:rsid w:val="00905BEE"/>
    <w:rsid w:val="00922ED7"/>
    <w:rsid w:val="009233CF"/>
    <w:rsid w:val="00937E89"/>
    <w:rsid w:val="00944D9F"/>
    <w:rsid w:val="009467F2"/>
    <w:rsid w:val="009476C3"/>
    <w:rsid w:val="00963449"/>
    <w:rsid w:val="00974E5D"/>
    <w:rsid w:val="0098272E"/>
    <w:rsid w:val="009B0FF2"/>
    <w:rsid w:val="009C005E"/>
    <w:rsid w:val="009D0E98"/>
    <w:rsid w:val="009D15BB"/>
    <w:rsid w:val="009F62CD"/>
    <w:rsid w:val="00A01283"/>
    <w:rsid w:val="00A141AF"/>
    <w:rsid w:val="00A1592D"/>
    <w:rsid w:val="00A16D85"/>
    <w:rsid w:val="00A16EC7"/>
    <w:rsid w:val="00A210F8"/>
    <w:rsid w:val="00A24EB7"/>
    <w:rsid w:val="00A2667C"/>
    <w:rsid w:val="00A37696"/>
    <w:rsid w:val="00A47549"/>
    <w:rsid w:val="00A5508D"/>
    <w:rsid w:val="00A70C14"/>
    <w:rsid w:val="00A75B9F"/>
    <w:rsid w:val="00A95B8A"/>
    <w:rsid w:val="00AB2C07"/>
    <w:rsid w:val="00AD36F1"/>
    <w:rsid w:val="00AD4D70"/>
    <w:rsid w:val="00AE1CF4"/>
    <w:rsid w:val="00B332D2"/>
    <w:rsid w:val="00B36286"/>
    <w:rsid w:val="00B45520"/>
    <w:rsid w:val="00B54096"/>
    <w:rsid w:val="00B646AB"/>
    <w:rsid w:val="00B668FB"/>
    <w:rsid w:val="00B73A6E"/>
    <w:rsid w:val="00B86369"/>
    <w:rsid w:val="00B87A70"/>
    <w:rsid w:val="00B902CB"/>
    <w:rsid w:val="00B93EE3"/>
    <w:rsid w:val="00BA17D6"/>
    <w:rsid w:val="00BA4C18"/>
    <w:rsid w:val="00BC1B41"/>
    <w:rsid w:val="00BC255D"/>
    <w:rsid w:val="00BD65AF"/>
    <w:rsid w:val="00BE210C"/>
    <w:rsid w:val="00C12C9B"/>
    <w:rsid w:val="00C26206"/>
    <w:rsid w:val="00C3077F"/>
    <w:rsid w:val="00C314A7"/>
    <w:rsid w:val="00C36C54"/>
    <w:rsid w:val="00C46CA3"/>
    <w:rsid w:val="00C7686A"/>
    <w:rsid w:val="00C81B92"/>
    <w:rsid w:val="00C9157C"/>
    <w:rsid w:val="00C92769"/>
    <w:rsid w:val="00CC54D0"/>
    <w:rsid w:val="00CC598E"/>
    <w:rsid w:val="00CC5CC0"/>
    <w:rsid w:val="00CD1D07"/>
    <w:rsid w:val="00CF3B68"/>
    <w:rsid w:val="00D01F8E"/>
    <w:rsid w:val="00D069EC"/>
    <w:rsid w:val="00D06F21"/>
    <w:rsid w:val="00D13895"/>
    <w:rsid w:val="00D22756"/>
    <w:rsid w:val="00D60E6A"/>
    <w:rsid w:val="00D627D4"/>
    <w:rsid w:val="00D91B23"/>
    <w:rsid w:val="00DA23F4"/>
    <w:rsid w:val="00DA3DCB"/>
    <w:rsid w:val="00DD6900"/>
    <w:rsid w:val="00DE0FA4"/>
    <w:rsid w:val="00E117D2"/>
    <w:rsid w:val="00E35588"/>
    <w:rsid w:val="00E8736A"/>
    <w:rsid w:val="00E9192C"/>
    <w:rsid w:val="00E92B64"/>
    <w:rsid w:val="00EB2457"/>
    <w:rsid w:val="00EB327D"/>
    <w:rsid w:val="00EC10C1"/>
    <w:rsid w:val="00ED3F01"/>
    <w:rsid w:val="00EE16E0"/>
    <w:rsid w:val="00F063E6"/>
    <w:rsid w:val="00F20204"/>
    <w:rsid w:val="00F24A0D"/>
    <w:rsid w:val="00F31260"/>
    <w:rsid w:val="00F327A3"/>
    <w:rsid w:val="00F440F8"/>
    <w:rsid w:val="00F67C14"/>
    <w:rsid w:val="00F82072"/>
    <w:rsid w:val="00FA0BD7"/>
    <w:rsid w:val="00FA33AB"/>
    <w:rsid w:val="00FB468D"/>
    <w:rsid w:val="00FC4F32"/>
    <w:rsid w:val="00FD20D2"/>
    <w:rsid w:val="00FD6030"/>
    <w:rsid w:val="051A0102"/>
    <w:rsid w:val="216D5D03"/>
    <w:rsid w:val="7D29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2"/>
    <w:next w:val="2"/>
    <w:link w:val="18"/>
    <w:semiHidden/>
    <w:unhideWhenUsed/>
    <w:qFormat/>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6"/>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日期 Char"/>
    <w:basedOn w:val="9"/>
    <w:link w:val="3"/>
    <w:semiHidden/>
    <w:qFormat/>
    <w:uiPriority w:val="99"/>
    <w:rPr>
      <w:rFonts w:ascii="Times New Roman" w:hAnsi="Times New Roman" w:eastAsia="宋体" w:cs="Times New Roman"/>
      <w:szCs w:val="20"/>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rFonts w:ascii="Times New Roman" w:hAnsi="Times New Roman" w:eastAsia="宋体" w:cs="Times New Roman"/>
      <w:sz w:val="18"/>
      <w:szCs w:val="18"/>
    </w:rPr>
  </w:style>
  <w:style w:type="character" w:customStyle="1" w:styleId="17">
    <w:name w:val="批注文字 Char"/>
    <w:basedOn w:val="9"/>
    <w:link w:val="2"/>
    <w:semiHidden/>
    <w:uiPriority w:val="99"/>
    <w:rPr>
      <w:rFonts w:ascii="Times New Roman" w:hAnsi="Times New Roman" w:eastAsia="宋体" w:cs="Times New Roman"/>
      <w:szCs w:val="20"/>
    </w:rPr>
  </w:style>
  <w:style w:type="character" w:customStyle="1" w:styleId="18">
    <w:name w:val="批注主题 Char"/>
    <w:basedOn w:val="17"/>
    <w:link w:val="7"/>
    <w:semiHidden/>
    <w:qFormat/>
    <w:uiPriority w:val="99"/>
    <w:rPr>
      <w:rFonts w:ascii="Times New Roman" w:hAnsi="Times New Roman" w:eastAsia="宋体" w:cs="Times New Roman"/>
      <w:b/>
      <w:bCs/>
      <w:szCs w:val="20"/>
    </w:rPr>
  </w:style>
  <w:style w:type="paragraph" w:customStyle="1" w:styleId="19">
    <w:name w:val="Revision"/>
    <w:hidden/>
    <w:semiHidden/>
    <w:qFormat/>
    <w:uiPriority w:val="99"/>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2AA482-D34D-4377-9BC0-1C7E7B9BA63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335</Words>
  <Characters>1912</Characters>
  <Lines>15</Lines>
  <Paragraphs>4</Paragraphs>
  <TotalTime>75</TotalTime>
  <ScaleCrop>false</ScaleCrop>
  <LinksUpToDate>false</LinksUpToDate>
  <CharactersWithSpaces>2243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2020-04-30T03:32:00Z</dcterms:created>
  <dc:creator>cti_yanglj</dc:creator>
  <cp:lastModifiedBy>Evelyn</cp:lastModifiedBy>
  <cp:lastPrinted>2019-04-29T02:16:00Z</cp:lastPrinted>
  <dcterms:modified xsi:type="dcterms:W3CDTF">2020-04-30T10:38:49Z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